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39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ind w:right="139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Бизнес-форума «Россия-Мозамбик»</w:t>
      </w:r>
    </w:p>
    <w:p w:rsidR="00000000" w:rsidDel="00000000" w:rsidP="00000000" w:rsidRDefault="00000000" w:rsidRPr="00000000" w14:paraId="00000003">
      <w:pPr>
        <w:ind w:right="139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21 августа 2019 г., 10.00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Центр международной торговли</w:t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(Краснопресненская набережная, 12, зал «Ладога», подъезд №7)</w:t>
      </w:r>
    </w:p>
    <w:p w:rsidR="00000000" w:rsidDel="00000000" w:rsidP="00000000" w:rsidRDefault="00000000" w:rsidRPr="00000000" w14:paraId="00000006">
      <w:pPr>
        <w:ind w:firstLine="708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Модератор:</w:t>
      </w:r>
      <w:r w:rsidDel="00000000" w:rsidR="00000000" w:rsidRPr="00000000">
        <w:rPr>
          <w:sz w:val="26"/>
          <w:szCs w:val="26"/>
          <w:rtl w:val="0"/>
        </w:rPr>
        <w:t xml:space="preserve">  (уточняется)</w:t>
      </w:r>
    </w:p>
    <w:p w:rsidR="00000000" w:rsidDel="00000000" w:rsidP="00000000" w:rsidRDefault="00000000" w:rsidRPr="00000000" w14:paraId="00000008">
      <w:pPr>
        <w:ind w:right="139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8"/>
        <w:gridCol w:w="8144"/>
        <w:tblGridChange w:id="0">
          <w:tblGrid>
            <w:gridCol w:w="1708"/>
            <w:gridCol w:w="8144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 w14:paraId="00000009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09.00 – 10.00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Регистрация участников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Приветственный кофе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0D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10.00 – 10.10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Открытие форума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Приветствие вице-президента ТПП РФ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В.И.Падалко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10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10.10 – 10.20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председателя Конфедерации экономических ассоциаций Республики Мозамбик (CTA)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Агоштиньу Вума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2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Подписание Меморандума о взаимопонимании между ТПП РФ и Конфедерацией экономических ассоциаций Республики Мозамбик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4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10.20 – 10.30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Председателя МПК с российской стороны, Заместителя руководителя Федерального агентства по недропользованию РФ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Е.А.Киселёва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6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10.30 – 10.50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Президента Республики Мозамбик </w:t>
            </w:r>
          </w:p>
          <w:p w:rsidR="00000000" w:rsidDel="00000000" w:rsidP="00000000" w:rsidRDefault="00000000" w:rsidRPr="00000000" w14:paraId="00000018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Филипе Жасинту Ньюси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9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11.00 – 11.20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Кофе-брейк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B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11.20 – 11.40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председателя Агентства по продвижению инвестиций и экспорта Мозамбика (APIEX)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Лоуренсу Самбу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Презентация возможностей для бизнеса и инвестиций в Мозамбике</w:t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председателя Фонда аграрного развития (FDA) </w:t>
            </w:r>
          </w:p>
          <w:p w:rsidR="00000000" w:rsidDel="00000000" w:rsidP="00000000" w:rsidRDefault="00000000" w:rsidRPr="00000000" w14:paraId="0000001E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председателя Национальной углеводородной компании (ENH)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Омар Мита</w:t>
            </w:r>
          </w:p>
          <w:p w:rsidR="00000000" w:rsidDel="00000000" w:rsidP="00000000" w:rsidRDefault="00000000" w:rsidRPr="00000000" w14:paraId="0000001F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Выступление председателя Национальной электрической компании      (EDM)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Али Импижа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0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11.40 – 12.10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История успеха – выступления: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Представитель ПАО НК «Роснефть»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Представитель АО “Газпромбанк”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Представитель «Лаборатории Касперского»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Представитель Tazetta Resources LDA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6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12.10 – 12.20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Презентации российских и мозамбикских компаний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8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12.20 – 12.25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Заключительное слово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A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12.25 – 12.30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Общее фото участников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C">
            <w:pPr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12.30 – 13.30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Встречи В2В</w:t>
            </w:r>
          </w:p>
        </w:tc>
      </w:tr>
    </w:tbl>
    <w:p w:rsidR="00000000" w:rsidDel="00000000" w:rsidP="00000000" w:rsidRDefault="00000000" w:rsidRPr="00000000" w14:paraId="0000002E">
      <w:pPr>
        <w:ind w:right="139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38" w:w="11906"/>
      <w:pgMar w:bottom="709" w:top="567" w:left="851" w:right="99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  <w:sz w:val="26"/>
        <w:szCs w:val="26"/>
      </w:rPr>
    </w:pPr>
    <w:r w:rsidDel="00000000" w:rsidR="00000000" w:rsidRPr="00000000">
      <w:rPr>
        <w:color w:val="000000"/>
        <w:sz w:val="26"/>
        <w:szCs w:val="26"/>
        <w:rtl w:val="0"/>
      </w:rPr>
      <w:t xml:space="preserve">Проект на 0</w:t>
    </w:r>
    <w:r w:rsidDel="00000000" w:rsidR="00000000" w:rsidRPr="00000000">
      <w:rPr>
        <w:sz w:val="26"/>
        <w:szCs w:val="26"/>
        <w:rtl w:val="0"/>
      </w:rPr>
      <w:t xml:space="preserve">6</w:t>
    </w:r>
    <w:r w:rsidDel="00000000" w:rsidR="00000000" w:rsidRPr="00000000">
      <w:rPr>
        <w:color w:val="000000"/>
        <w:sz w:val="26"/>
        <w:szCs w:val="26"/>
        <w:rtl w:val="0"/>
      </w:rPr>
      <w:t xml:space="preserve">.08.2019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D3089"/>
    <w:rPr>
      <w:rFonts w:eastAsia="Batang"/>
      <w:szCs w:val="24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footer"/>
    <w:basedOn w:val="a"/>
    <w:link w:val="a5"/>
    <w:rsid w:val="00AD3089"/>
    <w:pPr>
      <w:tabs>
        <w:tab w:val="center" w:pos="4677"/>
        <w:tab w:val="right" w:pos="9355"/>
      </w:tabs>
    </w:pPr>
  </w:style>
  <w:style w:type="character" w:styleId="a5" w:customStyle="1">
    <w:name w:val="Нижний колонтитул Знак"/>
    <w:basedOn w:val="a0"/>
    <w:link w:val="a4"/>
    <w:rsid w:val="00AD3089"/>
    <w:rPr>
      <w:rFonts w:ascii="Times New Roman" w:cs="Times New Roman" w:eastAsia="Batang" w:hAnsi="Times New Roman"/>
      <w:sz w:val="28"/>
      <w:szCs w:val="24"/>
      <w:lang w:eastAsia="ru-RU"/>
    </w:rPr>
  </w:style>
  <w:style w:type="character" w:styleId="a6">
    <w:name w:val="page number"/>
    <w:basedOn w:val="a0"/>
    <w:rsid w:val="00AD3089"/>
  </w:style>
  <w:style w:type="paragraph" w:styleId="a7">
    <w:name w:val="header"/>
    <w:basedOn w:val="a"/>
    <w:link w:val="a8"/>
    <w:rsid w:val="00AD3089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rsid w:val="00AD3089"/>
    <w:rPr>
      <w:rFonts w:ascii="Times New Roman" w:cs="Times New Roman" w:eastAsia="Batang" w:hAnsi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 w:val="1"/>
    <w:rsid w:val="00AD3089"/>
    <w:pPr>
      <w:ind w:left="708"/>
    </w:pPr>
  </w:style>
  <w:style w:type="table" w:styleId="aa">
    <w:name w:val="Table Grid"/>
    <w:basedOn w:val="a1"/>
    <w:uiPriority w:val="59"/>
    <w:rsid w:val="006969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xtended-textshort" w:customStyle="1">
    <w:name w:val="extended-text__short"/>
    <w:basedOn w:val="a0"/>
    <w:rsid w:val="009B6D41"/>
  </w:style>
  <w:style w:type="paragraph" w:styleId="ab">
    <w:name w:val="Balloon Text"/>
    <w:basedOn w:val="a"/>
    <w:link w:val="ac"/>
    <w:uiPriority w:val="99"/>
    <w:semiHidden w:val="1"/>
    <w:unhideWhenUsed w:val="1"/>
    <w:rsid w:val="004D2C2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4D2C27"/>
    <w:rPr>
      <w:rFonts w:ascii="Tahoma" w:cs="Tahoma" w:eastAsia="Batang" w:hAnsi="Tahoma"/>
      <w:sz w:val="16"/>
      <w:szCs w:val="16"/>
      <w:lang w:eastAsia="ru-RU"/>
    </w:rPr>
  </w:style>
  <w:style w:type="character" w:styleId="ad">
    <w:name w:val="Emphasis"/>
    <w:basedOn w:val="a0"/>
    <w:uiPriority w:val="20"/>
    <w:qFormat w:val="1"/>
    <w:rsid w:val="00FD6CD4"/>
    <w:rPr>
      <w:i w:val="1"/>
      <w:iCs w:val="1"/>
    </w:rPr>
  </w:style>
  <w:style w:type="paragraph" w:styleId="ae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NUr32E7cX1u4HExqFpANLeKGQ==">AMUW2mUzPC6V8gpazOPSlD2OglEOyXRJW3V7V60SSu7pd31GfAmDzwAIXG6FvDi2HQecP6hqZAHgBb0W7Oi1J6h3EtpAmnLB6yMrVy22otBt62rn2u0hzLoIvdryaQi1a97i0w+7pduoWFJqg+htRt72fldYnKBlCg==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2019-07-29T10:16:00Z</dcterms:created>
  <dc:creator>Стасюн Ольга</dc:creator>
</cp:coreProperties>
</file>